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2018年度新疆喀什地区英吉沙县文工团(本级）部门决算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1、按照党的文艺方针，围绕党的中心工作，积极创作、排练优质节目，保护传承少数民族传统文化。</w:t>
      </w:r>
      <w:r>
        <w:rPr>
          <w:rFonts w:hint="eastAsia" w:ascii="仿宋_GB2312" w:eastAsia="仿宋_GB2312"/>
          <w:sz w:val="32"/>
          <w:szCs w:val="32"/>
        </w:rPr>
        <w:br w:type="textWrapping"/>
      </w:r>
      <w:r>
        <w:rPr>
          <w:rFonts w:hint="eastAsia" w:ascii="仿宋_GB2312" w:eastAsia="仿宋_GB2312"/>
          <w:sz w:val="32"/>
          <w:szCs w:val="32"/>
        </w:rPr>
        <w:t xml:space="preserve">    2、开展文艺下乡、公益性演出等。</w:t>
      </w:r>
      <w:r>
        <w:rPr>
          <w:rFonts w:hint="eastAsia" w:ascii="仿宋_GB2312" w:eastAsia="仿宋_GB2312"/>
          <w:sz w:val="32"/>
          <w:szCs w:val="32"/>
        </w:rPr>
        <w:br w:type="textWrapping"/>
      </w:r>
      <w:r>
        <w:rPr>
          <w:rFonts w:hint="eastAsia" w:ascii="仿宋_GB2312" w:eastAsia="仿宋_GB2312"/>
          <w:sz w:val="32"/>
          <w:szCs w:val="32"/>
        </w:rPr>
        <w:t xml:space="preserve">    3、承办县委、政府和上级文化主管理部门交办的各项工作任务。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新疆喀什地区英吉沙县文工团(本级）</w:t>
      </w:r>
      <w:r>
        <w:rPr>
          <w:rFonts w:hint="eastAsia" w:ascii="仿宋_GB2312" w:eastAsia="仿宋_GB2312"/>
          <w:sz w:val="32"/>
          <w:szCs w:val="32"/>
        </w:rPr>
        <w:t>部门决算包括：</w:t>
      </w:r>
      <w:r>
        <w:rPr>
          <w:rFonts w:ascii="仿宋_GB2312" w:eastAsia="仿宋_GB2312"/>
          <w:sz w:val="32"/>
          <w:szCs w:val="32"/>
        </w:rPr>
        <w:t>新疆喀什地区英吉沙县文工团(本级）</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新疆喀什地区英吉沙县文工团(本级）</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spacing w:line="500" w:lineRule="exact"/>
              <w:ind w:firstLine="640" w:firstLineChars="200"/>
              <w:jc w:val="left"/>
            </w:pPr>
            <w:r>
              <w:rPr>
                <w:rFonts w:eastAsia="Times New Roman"/>
                <w:color w:val="000000"/>
                <w:position w:val="-1"/>
                <w:sz w:val="32"/>
              </w:rPr>
              <w:t>1</w:t>
            </w:r>
          </w:p>
        </w:tc>
        <w:tc>
          <w:tcPr>
            <w:tcW w:w="3870" w:type="dxa"/>
          </w:tcPr>
          <w:p>
            <w:pPr>
              <w:spacing w:line="500" w:lineRule="exact"/>
              <w:ind w:firstLine="640" w:firstLineChars="200"/>
              <w:jc w:val="left"/>
            </w:pPr>
            <w:r>
              <w:rPr>
                <w:rFonts w:eastAsia="Times New Roman"/>
                <w:color w:val="000000"/>
                <w:position w:val="-1"/>
                <w:sz w:val="32"/>
              </w:rPr>
              <w:t>新疆喀什地区英吉沙县文工团(本级</w:t>
            </w:r>
          </w:p>
        </w:tc>
        <w:tc>
          <w:tcPr>
            <w:tcW w:w="2538" w:type="dxa"/>
            <w:vAlign w:val="center"/>
          </w:tcPr>
          <w:p>
            <w:pPr>
              <w:spacing w:line="500" w:lineRule="exact"/>
              <w:ind w:firstLine="420" w:firstLineChars="200"/>
              <w:jc w:val="left"/>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204.11</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，与上年相比，减少14.23万元，下降6.52%，减少的主要原因是：</w:t>
      </w:r>
      <w:r>
        <w:rPr>
          <w:rFonts w:hint="eastAsia" w:ascii="仿宋_GB2312" w:eastAsia="仿宋_GB2312"/>
          <w:color w:val="000000" w:themeColor="text1"/>
          <w:sz w:val="32"/>
          <w:szCs w:val="32"/>
        </w:rPr>
        <w:t>2018年有在职1人转退休，在职人员有普调、艰边调标和基本工资调标，2018年自治区未安排下乡演出补助经费；</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204.11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，与上年相比，减少14.23万元，下降6.52%，减少的主要原因是：</w:t>
      </w:r>
      <w:r>
        <w:rPr>
          <w:rFonts w:hint="eastAsia" w:ascii="仿宋_GB2312" w:eastAsia="仿宋_GB2312"/>
          <w:color w:val="000000" w:themeColor="text1"/>
          <w:sz w:val="32"/>
          <w:szCs w:val="32"/>
        </w:rPr>
        <w:t>2018年有在职1人转退休，在职人员有普调、艰边调标和基本工资调标，2018年自治区未安排下乡演出补助经费；</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w:t>
      </w:r>
      <w:r>
        <w:rPr>
          <w:rFonts w:ascii="仿宋_GB2312" w:eastAsia="仿宋_GB2312"/>
          <w:color w:val="000000" w:themeColor="text1"/>
          <w:sz w:val="32"/>
          <w:szCs w:val="32"/>
        </w:rPr>
        <w:t>资金使用到位，无结余。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204.11</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204.11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况：本年收入年初预算数212.78万元</w:t>
      </w:r>
      <w:r>
        <w:rPr>
          <w:rFonts w:hint="eastAsia" w:ascii="仿宋_GB2312" w:eastAsia="仿宋_GB2312"/>
          <w:sz w:val="32"/>
          <w:szCs w:val="32"/>
        </w:rPr>
        <w:t>，决算数204.11万元</w:t>
      </w:r>
      <w:r>
        <w:rPr>
          <w:rFonts w:ascii="仿宋_GB2312" w:eastAsia="仿宋_GB2312"/>
          <w:sz w:val="32"/>
          <w:szCs w:val="32"/>
        </w:rPr>
        <w:t>，预决算差异率-4.07%，差异主要原因是2018年有在职1人转退休，退休人员工资在社保局统一发放，在职人员有普调、艰边调标和基本工资调标，聘用人员工资实际拨付数据比年初预算数少。</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204.11</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204.11</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与年初预算数相比情况：本年支出年初预算数212.78万元，</w:t>
      </w:r>
      <w:r>
        <w:rPr>
          <w:rFonts w:hint="eastAsia" w:ascii="仿宋_GB2312" w:eastAsia="仿宋_GB2312"/>
          <w:sz w:val="32"/>
          <w:szCs w:val="32"/>
        </w:rPr>
        <w:t>决算数204.11万元</w:t>
      </w:r>
      <w:r>
        <w:rPr>
          <w:rFonts w:ascii="仿宋_GB2312" w:eastAsia="仿宋_GB2312"/>
          <w:sz w:val="32"/>
          <w:szCs w:val="32"/>
        </w:rPr>
        <w:t>，预决算差异率-4.07%，差异主要原因是2018年有在职1人转退休，退休人员工资在社保局统一发放，在职人员有普调、艰边调标和基本工资调标，聘用人员工资实际拨付数据比年初预算数少。</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204.11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，与上年相比，减少14.23万元，下降6.52%，减少的主要原因是：2018年有在职1人转退休，其退休人员工资由社保局统一发放，在职人员有普调、艰边调标和基本工资调标，2018年自治区未安排下乡演出补助经费。</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204.11</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，与上年相比，减少14.23万元，下降6.52%，减少的主要原因是：</w:t>
      </w:r>
      <w:r>
        <w:rPr>
          <w:rFonts w:ascii="仿宋_GB2312" w:eastAsia="仿宋_GB2312"/>
          <w:sz w:val="32"/>
          <w:szCs w:val="32"/>
        </w:rPr>
        <w:t>2018年有在职1人转退休，其退休人员工资由社保局统一发放，在职人员有普调、艰边调标和基本工资调标，2018年自治区未安排下乡演出补助经费。</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204.11</w:t>
      </w:r>
      <w:r>
        <w:rPr>
          <w:rFonts w:hint="eastAsia" w:ascii="仿宋_GB2312" w:eastAsia="仿宋_GB2312"/>
          <w:color w:val="000000" w:themeColor="text1"/>
          <w:sz w:val="32"/>
          <w:szCs w:val="32"/>
        </w:rPr>
        <w:t>万元，项目支出</w:t>
      </w:r>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上年基本支出为201.34万元，2018年基本支出为204.11万元，较上年增加2.77万元。其原因为2018年在职人员工资有普调、艰边调标和基本工资调标，聘用人员实发工资较上年有所增加。</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212.78</w:t>
      </w:r>
      <w:r>
        <w:rPr>
          <w:rFonts w:hint="eastAsia" w:ascii="仿宋_GB2312" w:eastAsia="仿宋_GB2312"/>
          <w:color w:val="000000" w:themeColor="text1"/>
          <w:sz w:val="32"/>
          <w:szCs w:val="32"/>
        </w:rPr>
        <w:t>万元，决算数</w:t>
      </w:r>
      <w:r>
        <w:rPr>
          <w:rFonts w:hint="eastAsia" w:ascii="仿宋_GB2312" w:eastAsia="仿宋_GB2312"/>
          <w:sz w:val="32"/>
          <w:szCs w:val="32"/>
        </w:rPr>
        <w:t>204.11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-4.07%，差异主要原因是2018年实际执行时有在职1人转退休，退休人员工资在社保局统一发放，在职人员有普调、艰边调标和基本工资调标，聘用人员工资实际拨付数据比年初预算数少，所以存在差异。</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212.78</w:t>
      </w:r>
      <w:r>
        <w:rPr>
          <w:rFonts w:hint="eastAsia" w:ascii="仿宋_GB2312" w:eastAsia="仿宋_GB2312"/>
          <w:color w:val="000000" w:themeColor="text1"/>
          <w:sz w:val="32"/>
          <w:szCs w:val="32"/>
        </w:rPr>
        <w:t>万元，决算数</w:t>
      </w:r>
      <w:r>
        <w:rPr>
          <w:rFonts w:hint="eastAsia" w:ascii="仿宋_GB2312" w:eastAsia="仿宋_GB2312"/>
          <w:sz w:val="32"/>
          <w:szCs w:val="32"/>
        </w:rPr>
        <w:t>204.11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-4.07%，差异主要原因是2018年实际执行时有在职1人转退休，退休人员工资在社保局统一发放，在职人员有普调、艰边调标和基本工资调标，聘用人员工资实际拨付数据比年初预算数少，所以存在差异。</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204.11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，与上年相比，减少14.23万元，下降6.52%，减少的主要原因是：2018年有在职1人转退休，其退休人员工资由社保局统一发放，在职人员有普调、艰边调标和基本工资调标，2018年自治区未安排下乡演出补助经费。</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204.11</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，与上年相比，减少14.23万元，下降6.52%，减少的主要原因是：2018年有在职1人转退休，其退休人员工资由社保局统一发放，在职人员有普调、艰边调标和基本工资调标，2018年自治区未安排下乡演出补助经费。</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住房保障支出7.68万元,文化体育与传媒支出184.31万元,社会保障和就业支出12.12万元。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工资福利支出102.14万元,对个人和家庭的补助101.97万元。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212.78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204.11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-4.07%，差异主要原因是2018年实际执行时有在职1人转退休，退休人员工资在社保局统一发放，在职人员有普调、艰边调标和基本工资调标，聘用人员工资实际拨付数据比年初预算数少，所以存在差异。</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212.78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204.11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-4.07%，差异主要原因是2018年实际执行时有在职1人转退休，退休人员工资在社保局统一发放，在职人员有普调、艰边调标和基本工资调标，聘用人员工资实际拨付数据比年初预算数少，所以存在差异。</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，与上年相比，增加0万元，增长0%，主要原因是：本年无政府性基金预算。</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，与上年相比，增加0万元，增长0%，主要原因是：两年度均无政府性基金预算。</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，预决算差异率0%，差异主要原因是本年无政府性基金预算，所以不存在差异。</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，预决算差异率0%，差异主要原因是本年无政府性基金预算，所以不存在差异。</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8"/>
      <w:bookmarkStart w:id="55" w:name="OLE_LINK27"/>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，与上年相比，增加0万元，增长0%，主要原因是：本年无“三公”经费预算安排。</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0%，与上年相比，增加0万元，增长0%，主要原因是：本年无因公出国（境）费预算安排；</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0%，与上年相比，增加0万元，增长0%，主要原因是：本年无公务用车运行维护费预算安排；</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0%，与上年相比，增加0万元，增长0%，主要原因是：本年无公务接待费预算安排。</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新疆喀什地区英吉沙县文工团(本级）</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5"/>
      <w:bookmarkStart w:id="69" w:name="OLE_LINK34"/>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本年无因公出国（境）费用预算安排。</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本年无公务用车购置及运行维护费预算安排</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本年无公务接待费预算安排</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新疆喀什地区英吉沙县文工团(本级）</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，预决算差异率0%，差异主要原因是本年无“三公”经费预算安排。</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，预决算差异率0%，差异主要原因是本年无因公出国（境）费预算安排；</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，预决算差异率0%，差异主要原因是本年无公务用车购置预算安排；</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，预决算差异率0%，差异主要原因是本年无公务用车运行费预算安排；</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本年无公务接待费预算安排。</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新疆喀什地区英吉沙县文工团(本级）日常公用经费0万元，与上年相比，本单位历年无日常公用经费预算安排。</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本单位无其他用车；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bookmarkStart w:id="92" w:name="_GoBack"/>
      <w:bookmarkEnd w:id="92"/>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w:t>
      </w:r>
      <w:r>
        <w:rPr>
          <w:rFonts w:hint="eastAsia" w:ascii="仿宋_GB2312" w:eastAsia="仿宋_GB2312"/>
          <w:sz w:val="32"/>
          <w:szCs w:val="32"/>
        </w:rPr>
        <w:t>英吉沙县</w:t>
      </w:r>
      <w:r>
        <w:rPr>
          <w:rFonts w:hint="eastAsia" w:ascii="仿宋_GB2312" w:eastAsia="仿宋_GB2312"/>
          <w:sz w:val="32"/>
          <w:szCs w:val="32"/>
          <w:lang w:eastAsia="zh-CN"/>
        </w:rPr>
        <w:t>文工团</w:t>
      </w:r>
      <w:r>
        <w:rPr>
          <w:rFonts w:ascii="仿宋_GB2312" w:eastAsia="仿宋_GB2312"/>
          <w:sz w:val="32"/>
          <w:szCs w:val="32"/>
        </w:rPr>
        <w:t>2018年度部门预算总额为</w:t>
      </w:r>
      <w:r>
        <w:rPr>
          <w:rFonts w:hint="eastAsia" w:ascii="仿宋_GB2312" w:eastAsia="仿宋_GB2312"/>
          <w:sz w:val="32"/>
          <w:szCs w:val="32"/>
          <w:lang w:val="en-US" w:eastAsia="zh-CN"/>
        </w:rPr>
        <w:t>0</w:t>
      </w:r>
      <w:r>
        <w:rPr>
          <w:rFonts w:ascii="仿宋_GB2312" w:eastAsia="仿宋_GB2312"/>
          <w:sz w:val="32"/>
          <w:szCs w:val="32"/>
        </w:rPr>
        <w:t>万元，执行金额为</w:t>
      </w:r>
      <w:r>
        <w:rPr>
          <w:rFonts w:hint="eastAsia" w:ascii="仿宋_GB2312" w:eastAsia="仿宋_GB2312"/>
          <w:sz w:val="32"/>
          <w:szCs w:val="32"/>
          <w:lang w:val="en-US" w:eastAsia="zh-CN"/>
        </w:rPr>
        <w:t>0</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0</w:t>
      </w:r>
      <w:r>
        <w:rPr>
          <w:rFonts w:ascii="仿宋_GB2312" w:eastAsia="仿宋_GB2312"/>
          <w:sz w:val="32"/>
          <w:szCs w:val="32"/>
        </w:rPr>
        <w:t>个，其中已完成项目</w:t>
      </w:r>
      <w:r>
        <w:rPr>
          <w:rFonts w:hint="eastAsia" w:ascii="仿宋_GB2312" w:eastAsia="仿宋_GB2312"/>
          <w:sz w:val="32"/>
          <w:szCs w:val="32"/>
          <w:lang w:val="en-US" w:eastAsia="zh-CN"/>
        </w:rPr>
        <w:t>0</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221（类）02（款）01（项）指：住房公积金。207（类）01（款）07（项）指：艺术表演团体。208（类）05（款）05（项）指：机关事业单位基本养老保险缴费支出。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rPr>
          <w:rFonts w:ascii="仿宋_GB2312" w:eastAsia="仿宋_GB2312"/>
          <w:sz w:val="32"/>
          <w:szCs w:val="32"/>
        </w:rPr>
      </w:pPr>
    </w:p>
    <w:p>
      <w:pPr>
        <w:spacing w:line="540" w:lineRule="exact"/>
        <w:ind w:firstLine="640" w:firstLineChars="200"/>
        <w:rPr>
          <w:rFonts w:ascii="仿宋_GB2312" w:eastAsia="仿宋_GB2312"/>
          <w:sz w:val="32"/>
          <w:szCs w:val="32"/>
        </w:rPr>
      </w:pPr>
    </w:p>
    <w:p>
      <w:pPr>
        <w:spacing w:line="540" w:lineRule="exact"/>
        <w:ind w:firstLine="3200" w:firstLineChars="1000"/>
        <w:jc w:val="center"/>
        <w:rPr>
          <w:rFonts w:ascii="仿宋_GB2312" w:eastAsia="仿宋_GB2312"/>
          <w:sz w:val="32"/>
          <w:szCs w:val="32"/>
        </w:rPr>
      </w:pPr>
      <w:r>
        <w:rPr>
          <w:rFonts w:ascii="仿宋_GB2312" w:eastAsia="仿宋_GB2312"/>
          <w:sz w:val="32"/>
          <w:szCs w:val="32"/>
        </w:rPr>
        <w:t>英吉沙县文工团</w:t>
      </w:r>
    </w:p>
    <w:p>
      <w:pPr>
        <w:spacing w:line="540" w:lineRule="exact"/>
        <w:ind w:firstLine="3200" w:firstLineChars="1000"/>
        <w:jc w:val="center"/>
        <w:rPr>
          <w:rFonts w:ascii="仿宋_GB2312" w:eastAsia="仿宋_GB2312"/>
          <w:sz w:val="32"/>
          <w:szCs w:val="32"/>
        </w:rPr>
      </w:pPr>
      <w:r>
        <w:rPr>
          <w:rFonts w:hint="eastAsia" w:ascii="仿宋_GB2312" w:eastAsia="仿宋_GB2312"/>
          <w:sz w:val="32"/>
          <w:szCs w:val="32"/>
        </w:rPr>
        <w:t>2019年8月15日</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- 5 -</w:t>
    </w:r>
    <w:r>
      <w:rPr>
        <w:rStyle w:val="8"/>
        <w:rFonts w:ascii="宋体" w:hAnsi="宋体" w:eastAsia="宋体"/>
        <w:sz w:val="28"/>
      </w:rPr>
      <w:fldChar w:fldCharType="end"/>
    </w:r>
    <w:r>
      <w:rPr>
        <w:rStyle w:val="8"/>
        <w:rFonts w:hint="eastAsia" w:ascii="宋体" w:hAnsi="宋体" w:eastAsia="宋体"/>
        <w:sz w:val="28"/>
      </w:rPr>
      <w:t xml:space="preserve"> </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- 12 -</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34E7"/>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B52"/>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1A0C"/>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A00EC5"/>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D935BFA"/>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13</Pages>
  <Words>867</Words>
  <Characters>4947</Characters>
  <Lines>41</Lines>
  <Paragraphs>11</Paragraphs>
  <TotalTime>0</TotalTime>
  <ScaleCrop>false</ScaleCrop>
  <LinksUpToDate>false</LinksUpToDate>
  <CharactersWithSpaces>5803</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2021-07-24T08:36:02Z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